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7D" w:rsidRPr="000F7685" w:rsidRDefault="008F1215" w:rsidP="00AC3F7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6"/>
        </w:rPr>
      </w:pPr>
      <w:r w:rsidRPr="000F7685">
        <w:rPr>
          <w:rFonts w:ascii="Arial" w:hAnsi="Arial" w:cs="Arial"/>
          <w:b/>
          <w:sz w:val="36"/>
        </w:rPr>
        <w:t>COMITE SPECIALISE N°3 :</w:t>
      </w:r>
    </w:p>
    <w:p w:rsidR="00F7739A" w:rsidRPr="000F7685" w:rsidRDefault="008F1215" w:rsidP="00AC3F7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6"/>
        </w:rPr>
      </w:pPr>
      <w:r w:rsidRPr="000F7685">
        <w:rPr>
          <w:rFonts w:ascii="Arial" w:hAnsi="Arial" w:cs="Arial"/>
          <w:b/>
          <w:sz w:val="36"/>
        </w:rPr>
        <w:t>ASSAINISSEMENT ET ENVIRONNEMENT</w:t>
      </w:r>
    </w:p>
    <w:p w:rsidR="008F1215" w:rsidRDefault="008F1215" w:rsidP="008F1215">
      <w:pPr>
        <w:spacing w:after="0"/>
        <w:rPr>
          <w:rFonts w:ascii="Arial" w:hAnsi="Arial" w:cs="Arial"/>
          <w:sz w:val="24"/>
        </w:rPr>
      </w:pPr>
    </w:p>
    <w:p w:rsidR="005F4801" w:rsidRDefault="005F4801" w:rsidP="008F1215">
      <w:pPr>
        <w:spacing w:after="0"/>
        <w:rPr>
          <w:rFonts w:ascii="Arial" w:hAnsi="Arial" w:cs="Arial"/>
          <w:sz w:val="24"/>
        </w:rPr>
      </w:pPr>
    </w:p>
    <w:p w:rsidR="005F4801" w:rsidRDefault="00B77A5B" w:rsidP="00B77A5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BAMAKO, 27 NOVEMBRE AU 01 DECEMBRE 2017</w:t>
      </w:r>
      <w:bookmarkStart w:id="0" w:name="_GoBack"/>
      <w:bookmarkEnd w:id="0"/>
    </w:p>
    <w:p w:rsidR="005F4801" w:rsidRDefault="005F4801" w:rsidP="008F1215">
      <w:pPr>
        <w:spacing w:after="0"/>
        <w:rPr>
          <w:rFonts w:ascii="Arial" w:hAnsi="Arial" w:cs="Arial"/>
          <w:sz w:val="24"/>
        </w:rPr>
      </w:pPr>
    </w:p>
    <w:p w:rsidR="005F4801" w:rsidRDefault="005F4801" w:rsidP="008F1215">
      <w:pPr>
        <w:spacing w:after="0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5528"/>
        <w:gridCol w:w="5748"/>
      </w:tblGrid>
      <w:tr w:rsidR="008C647F" w:rsidRPr="008C647F" w:rsidTr="008C647F">
        <w:trPr>
          <w:trHeight w:val="601"/>
        </w:trPr>
        <w:tc>
          <w:tcPr>
            <w:tcW w:w="2718" w:type="dxa"/>
            <w:shd w:val="clear" w:color="auto" w:fill="F7CAAC" w:themeFill="accent2" w:themeFillTint="66"/>
            <w:vAlign w:val="center"/>
          </w:tcPr>
          <w:p w:rsidR="008C647F" w:rsidRPr="008C647F" w:rsidRDefault="008C647F" w:rsidP="00131911">
            <w:pPr>
              <w:jc w:val="center"/>
              <w:rPr>
                <w:rFonts w:ascii="Arial" w:hAnsi="Arial" w:cs="Arial"/>
                <w:b/>
              </w:rPr>
            </w:pPr>
            <w:r w:rsidRPr="008C647F">
              <w:rPr>
                <w:rFonts w:ascii="Arial" w:hAnsi="Arial" w:cs="Arial"/>
                <w:b/>
              </w:rPr>
              <w:t>POINTS ABORDES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:rsidR="008C647F" w:rsidRPr="008C647F" w:rsidRDefault="008C647F" w:rsidP="0013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CONTENUS</w:t>
            </w:r>
          </w:p>
        </w:tc>
        <w:tc>
          <w:tcPr>
            <w:tcW w:w="5748" w:type="dxa"/>
            <w:shd w:val="clear" w:color="auto" w:fill="F7CAAC" w:themeFill="accent2" w:themeFillTint="66"/>
            <w:vAlign w:val="center"/>
          </w:tcPr>
          <w:p w:rsidR="008C647F" w:rsidRPr="008C647F" w:rsidRDefault="008C647F" w:rsidP="008C6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RECOMMANDATIONS</w:t>
            </w:r>
          </w:p>
        </w:tc>
      </w:tr>
      <w:tr w:rsidR="0081124E" w:rsidRPr="008C647F" w:rsidTr="0081124E">
        <w:trPr>
          <w:trHeight w:val="601"/>
        </w:trPr>
        <w:tc>
          <w:tcPr>
            <w:tcW w:w="2718" w:type="dxa"/>
            <w:shd w:val="clear" w:color="auto" w:fill="auto"/>
            <w:vAlign w:val="center"/>
          </w:tcPr>
          <w:p w:rsidR="00614984" w:rsidRDefault="00A04123" w:rsidP="00614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Suivi et évaluation des recommandations d</w:t>
            </w:r>
            <w:r w:rsidR="00614984">
              <w:rPr>
                <w:rFonts w:ascii="Arial" w:hAnsi="Arial" w:cs="Arial"/>
                <w:color w:val="000000"/>
              </w:rPr>
              <w:t xml:space="preserve">u Congrès de Nairobi </w:t>
            </w:r>
          </w:p>
          <w:p w:rsidR="0081124E" w:rsidRPr="00A04123" w:rsidRDefault="00614984" w:rsidP="00614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(y compris </w:t>
            </w:r>
            <w:r w:rsidR="00E00429">
              <w:rPr>
                <w:rFonts w:ascii="Arial" w:hAnsi="Arial" w:cs="Arial"/>
                <w:color w:val="000000"/>
              </w:rPr>
              <w:t xml:space="preserve">celles du </w:t>
            </w:r>
            <w:r w:rsidR="00A04123">
              <w:rPr>
                <w:rFonts w:ascii="Arial" w:hAnsi="Arial" w:cs="Arial"/>
                <w:color w:val="000000"/>
              </w:rPr>
              <w:t>CST d’</w:t>
            </w:r>
            <w:r>
              <w:rPr>
                <w:rFonts w:ascii="Arial" w:hAnsi="Arial" w:cs="Arial"/>
                <w:color w:val="000000"/>
              </w:rPr>
              <w:t>Accra)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1124E" w:rsidRPr="00FE7063" w:rsidRDefault="003B4849" w:rsidP="000C3D94">
            <w:pPr>
              <w:jc w:val="both"/>
              <w:rPr>
                <w:rFonts w:ascii="Arial" w:hAnsi="Arial" w:cs="Arial"/>
              </w:rPr>
            </w:pPr>
            <w:r w:rsidRPr="00FE7063">
              <w:rPr>
                <w:rFonts w:ascii="Arial" w:hAnsi="Arial" w:cs="Arial"/>
              </w:rPr>
              <w:t xml:space="preserve">Evaluation de la mise en œuvre des recommandations du congrès de Nairobi par rapport </w:t>
            </w:r>
            <w:r w:rsidR="00FE7063" w:rsidRPr="00FE7063">
              <w:rPr>
                <w:rFonts w:ascii="Arial" w:hAnsi="Arial" w:cs="Arial"/>
              </w:rPr>
              <w:t>aux réalisations du CST de</w:t>
            </w:r>
            <w:r w:rsidR="000C3D94">
              <w:rPr>
                <w:rFonts w:ascii="Arial" w:hAnsi="Arial" w:cs="Arial"/>
              </w:rPr>
              <w:t xml:space="preserve"> (1</w:t>
            </w:r>
            <w:r w:rsidR="000C3D94" w:rsidRPr="00FE7063">
              <w:rPr>
                <w:rFonts w:ascii="Arial" w:hAnsi="Arial" w:cs="Arial"/>
              </w:rPr>
              <w:t>) Luanda</w:t>
            </w:r>
            <w:r w:rsidR="000C3D94">
              <w:rPr>
                <w:rFonts w:ascii="Arial" w:hAnsi="Arial" w:cs="Arial"/>
              </w:rPr>
              <w:t>-juil.16, (2</w:t>
            </w:r>
            <w:r w:rsidR="00FE7063" w:rsidRPr="00FE7063">
              <w:rPr>
                <w:rFonts w:ascii="Arial" w:hAnsi="Arial" w:cs="Arial"/>
              </w:rPr>
              <w:t>) L</w:t>
            </w:r>
            <w:r w:rsidRPr="00FE7063">
              <w:rPr>
                <w:rFonts w:ascii="Arial" w:hAnsi="Arial" w:cs="Arial"/>
              </w:rPr>
              <w:t>ilong</w:t>
            </w:r>
            <w:r w:rsidR="00FE7063" w:rsidRPr="00FE7063">
              <w:rPr>
                <w:rFonts w:ascii="Arial" w:hAnsi="Arial" w:cs="Arial"/>
              </w:rPr>
              <w:t>we</w:t>
            </w:r>
            <w:r w:rsidR="000C3D94">
              <w:rPr>
                <w:rFonts w:ascii="Arial" w:hAnsi="Arial" w:cs="Arial"/>
              </w:rPr>
              <w:t>-nov.16</w:t>
            </w:r>
            <w:r w:rsidR="00FE7063" w:rsidRPr="00FE7063">
              <w:rPr>
                <w:rFonts w:ascii="Arial" w:hAnsi="Arial" w:cs="Arial"/>
              </w:rPr>
              <w:t>, (3) Rabbat</w:t>
            </w:r>
            <w:r w:rsidR="000C3D94">
              <w:rPr>
                <w:rFonts w:ascii="Arial" w:hAnsi="Arial" w:cs="Arial"/>
              </w:rPr>
              <w:t>-fev.17</w:t>
            </w:r>
            <w:r w:rsidR="00FE7063" w:rsidRPr="00FE7063">
              <w:rPr>
                <w:rFonts w:ascii="Arial" w:hAnsi="Arial" w:cs="Arial"/>
              </w:rPr>
              <w:t xml:space="preserve"> et (4) Accra</w:t>
            </w:r>
            <w:r w:rsidR="000C3D94">
              <w:rPr>
                <w:rFonts w:ascii="Arial" w:hAnsi="Arial" w:cs="Arial"/>
              </w:rPr>
              <w:t>-juill.17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81124E" w:rsidRPr="00FE7063" w:rsidRDefault="00FE7063" w:rsidP="00FE7063">
            <w:pPr>
              <w:rPr>
                <w:rFonts w:ascii="Arial" w:hAnsi="Arial" w:cs="Arial"/>
              </w:rPr>
            </w:pPr>
            <w:r w:rsidRPr="00FE7063">
              <w:rPr>
                <w:rFonts w:ascii="Arial" w:hAnsi="Arial" w:cs="Arial"/>
              </w:rPr>
              <w:t>Voir le tableau de mise en œuvre des recommandations</w:t>
            </w:r>
            <w:r>
              <w:rPr>
                <w:rFonts w:ascii="Arial" w:hAnsi="Arial" w:cs="Arial"/>
              </w:rPr>
              <w:t xml:space="preserve"> de Nairobi</w:t>
            </w:r>
            <w:r w:rsidRPr="00FE7063">
              <w:rPr>
                <w:rFonts w:ascii="Arial" w:hAnsi="Arial" w:cs="Arial"/>
              </w:rPr>
              <w:t xml:space="preserve"> </w:t>
            </w:r>
          </w:p>
        </w:tc>
      </w:tr>
      <w:tr w:rsidR="008C647F" w:rsidRPr="008C647F" w:rsidTr="008C647F">
        <w:tc>
          <w:tcPr>
            <w:tcW w:w="2718" w:type="dxa"/>
            <w:shd w:val="clear" w:color="auto" w:fill="auto"/>
          </w:tcPr>
          <w:p w:rsidR="008C647F" w:rsidRPr="008C647F" w:rsidRDefault="0081124E" w:rsidP="001319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et perspectives du RASOP-</w:t>
            </w:r>
            <w:proofErr w:type="spellStart"/>
            <w:r>
              <w:rPr>
                <w:rFonts w:ascii="Arial" w:hAnsi="Arial" w:cs="Arial"/>
              </w:rPr>
              <w:t>Africa</w:t>
            </w:r>
            <w:proofErr w:type="spellEnd"/>
          </w:p>
        </w:tc>
        <w:tc>
          <w:tcPr>
            <w:tcW w:w="5528" w:type="dxa"/>
          </w:tcPr>
          <w:p w:rsidR="0081124E" w:rsidRDefault="0081124E" w:rsidP="008112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</w:t>
            </w:r>
            <w:r w:rsidR="009C25A9">
              <w:rPr>
                <w:rFonts w:ascii="Arial" w:hAnsi="Arial" w:cs="Arial"/>
              </w:rPr>
              <w:t>N</w:t>
            </w:r>
            <w:r w:rsidR="00B52A90" w:rsidRPr="0081124E">
              <w:rPr>
                <w:rFonts w:ascii="Arial" w:hAnsi="Arial" w:cs="Arial"/>
              </w:rPr>
              <w:t>iveau d’</w:t>
            </w:r>
            <w:r w:rsidRPr="0081124E">
              <w:rPr>
                <w:rFonts w:ascii="Arial" w:hAnsi="Arial" w:cs="Arial"/>
              </w:rPr>
              <w:t xml:space="preserve">avancement </w:t>
            </w:r>
            <w:r w:rsidR="009C25A9">
              <w:rPr>
                <w:rFonts w:ascii="Arial" w:hAnsi="Arial" w:cs="Arial"/>
              </w:rPr>
              <w:t>depuis l</w:t>
            </w:r>
            <w:r w:rsidR="00220905">
              <w:rPr>
                <w:rFonts w:ascii="Arial" w:hAnsi="Arial" w:cs="Arial"/>
              </w:rPr>
              <w:t xml:space="preserve">e CST d’Accra </w:t>
            </w:r>
            <w:r w:rsidR="009C25A9">
              <w:rPr>
                <w:rFonts w:ascii="Arial" w:hAnsi="Arial" w:cs="Arial"/>
              </w:rPr>
              <w:t xml:space="preserve">de juillet 17 </w:t>
            </w:r>
            <w:r w:rsidR="002700CB">
              <w:rPr>
                <w:rFonts w:ascii="Arial" w:hAnsi="Arial" w:cs="Arial"/>
              </w:rPr>
              <w:t>(</w:t>
            </w:r>
            <w:r w:rsidR="009C25A9">
              <w:rPr>
                <w:rFonts w:ascii="Arial" w:hAnsi="Arial" w:cs="Arial"/>
              </w:rPr>
              <w:t>*</w:t>
            </w:r>
            <w:r w:rsidR="002700CB">
              <w:rPr>
                <w:rFonts w:ascii="Arial" w:hAnsi="Arial" w:cs="Arial"/>
              </w:rPr>
              <w:t>5 ateliers de formation</w:t>
            </w:r>
            <w:r w:rsidR="00706630">
              <w:rPr>
                <w:rFonts w:ascii="Arial" w:hAnsi="Arial" w:cs="Arial"/>
              </w:rPr>
              <w:t xml:space="preserve"> sur les technologies de traitement des boues de vidange</w:t>
            </w:r>
            <w:r w:rsidR="002700CB">
              <w:rPr>
                <w:rFonts w:ascii="Arial" w:hAnsi="Arial" w:cs="Arial"/>
              </w:rPr>
              <w:t xml:space="preserve">, </w:t>
            </w:r>
            <w:r w:rsidR="009C25A9">
              <w:rPr>
                <w:rFonts w:ascii="Arial" w:hAnsi="Arial" w:cs="Arial"/>
              </w:rPr>
              <w:t>*</w:t>
            </w:r>
            <w:r w:rsidR="002700CB">
              <w:rPr>
                <w:rFonts w:ascii="Arial" w:hAnsi="Arial" w:cs="Arial"/>
              </w:rPr>
              <w:t xml:space="preserve">2 visites de </w:t>
            </w:r>
            <w:proofErr w:type="spellStart"/>
            <w:r w:rsidR="002700CB">
              <w:rPr>
                <w:rFonts w:ascii="Arial" w:hAnsi="Arial" w:cs="Arial"/>
              </w:rPr>
              <w:t>benchmarking</w:t>
            </w:r>
            <w:proofErr w:type="spellEnd"/>
            <w:r w:rsidR="002700CB">
              <w:rPr>
                <w:rFonts w:ascii="Arial" w:hAnsi="Arial" w:cs="Arial"/>
              </w:rPr>
              <w:t xml:space="preserve"> à Dakar et à Durban de francophones chez les anglophones et vis-versa</w:t>
            </w:r>
            <w:r w:rsidR="00220905">
              <w:rPr>
                <w:rFonts w:ascii="Arial" w:hAnsi="Arial" w:cs="Arial"/>
              </w:rPr>
              <w:t xml:space="preserve">, </w:t>
            </w:r>
            <w:r w:rsidR="009C25A9">
              <w:rPr>
                <w:rFonts w:ascii="Arial" w:hAnsi="Arial" w:cs="Arial"/>
              </w:rPr>
              <w:t xml:space="preserve">*1 </w:t>
            </w:r>
            <w:r w:rsidR="00220905">
              <w:rPr>
                <w:rFonts w:ascii="Arial" w:hAnsi="Arial" w:cs="Arial"/>
              </w:rPr>
              <w:t xml:space="preserve">atelier de formation sur la version africaine de la boîte à outils de gestion des boues de vidange et sur la méthodologie de rédaction du diagramme de flux des matières fécales, </w:t>
            </w:r>
            <w:r w:rsidR="009C25A9">
              <w:rPr>
                <w:rFonts w:ascii="Arial" w:hAnsi="Arial" w:cs="Arial"/>
              </w:rPr>
              <w:t xml:space="preserve">*1 </w:t>
            </w:r>
            <w:r w:rsidR="00220905">
              <w:rPr>
                <w:rFonts w:ascii="Arial" w:hAnsi="Arial" w:cs="Arial"/>
              </w:rPr>
              <w:t xml:space="preserve">atelier de planification </w:t>
            </w:r>
            <w:r w:rsidR="009C25A9">
              <w:rPr>
                <w:rFonts w:ascii="Arial" w:hAnsi="Arial" w:cs="Arial"/>
              </w:rPr>
              <w:t xml:space="preserve">stratégique à </w:t>
            </w:r>
            <w:r w:rsidR="00220905">
              <w:rPr>
                <w:rFonts w:ascii="Arial" w:hAnsi="Arial" w:cs="Arial"/>
              </w:rPr>
              <w:t>Kampala</w:t>
            </w:r>
            <w:r w:rsidR="002700C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;</w:t>
            </w:r>
          </w:p>
          <w:p w:rsidR="0081124E" w:rsidRPr="0081124E" w:rsidRDefault="0081124E" w:rsidP="008112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Activités jusqu’au juin 2018</w:t>
            </w:r>
          </w:p>
          <w:p w:rsidR="0081124E" w:rsidRDefault="0081124E" w:rsidP="0081124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Organiser les 4 autres ateliers de planification stratégique ;</w:t>
            </w:r>
          </w:p>
          <w:p w:rsidR="0081124E" w:rsidRDefault="0081124E" w:rsidP="0081124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Traduire la boîte à outils de gestion des boues de vidange en français (février 2018)</w:t>
            </w:r>
          </w:p>
          <w:p w:rsidR="0081124E" w:rsidRDefault="0081124E" w:rsidP="0081124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Effectuer des formations spécifiques en assainissement au sein de chaque ville ;</w:t>
            </w:r>
          </w:p>
          <w:p w:rsidR="00220905" w:rsidRDefault="00220905" w:rsidP="000C3D94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Elaborer ou mettre à jour le diagramme de flux des matières fécales </w:t>
            </w:r>
            <w:r w:rsidR="00155AD7">
              <w:rPr>
                <w:rFonts w:ascii="Arial" w:hAnsi="Arial" w:cs="Arial"/>
              </w:rPr>
              <w:t xml:space="preserve">dans chaque ville </w:t>
            </w:r>
            <w:r>
              <w:rPr>
                <w:rFonts w:ascii="Arial" w:hAnsi="Arial" w:cs="Arial"/>
              </w:rPr>
              <w:t xml:space="preserve">; </w:t>
            </w:r>
          </w:p>
          <w:p w:rsidR="0081124E" w:rsidRDefault="0081124E" w:rsidP="0081124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Réaliser un film sur le RASOP, support de communication (mars 2018) ;</w:t>
            </w:r>
          </w:p>
          <w:p w:rsidR="0081124E" w:rsidRDefault="0081124E" w:rsidP="0081124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jour du diagramme des flux de matières de chaque ville bénéficiaire du RASOP </w:t>
            </w:r>
            <w:r w:rsidR="00155AD7">
              <w:rPr>
                <w:rFonts w:ascii="Arial" w:hAnsi="Arial" w:cs="Arial"/>
              </w:rPr>
              <w:t xml:space="preserve">(fév.18) </w:t>
            </w:r>
            <w:r>
              <w:rPr>
                <w:rFonts w:ascii="Arial" w:hAnsi="Arial" w:cs="Arial"/>
              </w:rPr>
              <w:t>;</w:t>
            </w:r>
          </w:p>
          <w:p w:rsidR="000E0056" w:rsidRDefault="000E0056" w:rsidP="000E0056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Atelier d’évaluation de l’an 2 du RASOP ;</w:t>
            </w:r>
          </w:p>
          <w:p w:rsidR="00155AD7" w:rsidRPr="000C3D94" w:rsidRDefault="00155AD7" w:rsidP="00155AD7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Organiser la table ronde des bailleurs (mai 2018) ;</w:t>
            </w:r>
          </w:p>
          <w:p w:rsidR="0081124E" w:rsidRDefault="0081124E" w:rsidP="0081124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Organiser les opérateurs de vidange en entité devant s’affilier à l’AAE ;</w:t>
            </w:r>
          </w:p>
          <w:p w:rsidR="000C3D94" w:rsidRDefault="000C3D94" w:rsidP="000C3D94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Perspectives :</w:t>
            </w:r>
          </w:p>
          <w:p w:rsidR="000C3D94" w:rsidRDefault="000C3D94" w:rsidP="000C3D94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Elargir le projet </w:t>
            </w:r>
            <w:r w:rsidR="000E0056">
              <w:rPr>
                <w:rFonts w:ascii="Arial" w:hAnsi="Arial" w:cs="Arial"/>
              </w:rPr>
              <w:t xml:space="preserve">RASOP </w:t>
            </w:r>
            <w:r>
              <w:rPr>
                <w:rFonts w:ascii="Arial" w:hAnsi="Arial" w:cs="Arial"/>
              </w:rPr>
              <w:t>à d’autres villes</w:t>
            </w:r>
            <w:r w:rsidR="000E00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;</w:t>
            </w:r>
          </w:p>
          <w:p w:rsidR="008C647F" w:rsidRPr="000C3D94" w:rsidRDefault="000C3D94" w:rsidP="00F904D6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Mettre en place une base de données</w:t>
            </w:r>
            <w:r w:rsidR="00F904D6">
              <w:rPr>
                <w:rFonts w:ascii="Arial" w:hAnsi="Arial" w:cs="Arial"/>
              </w:rPr>
              <w:t xml:space="preserve"> des experts assainissement 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5748" w:type="dxa"/>
            <w:shd w:val="clear" w:color="auto" w:fill="auto"/>
          </w:tcPr>
          <w:p w:rsidR="005A0F0A" w:rsidRPr="00920953" w:rsidRDefault="005A0F0A" w:rsidP="00920953">
            <w:pPr>
              <w:ind w:left="360"/>
              <w:rPr>
                <w:rFonts w:ascii="Arial" w:hAnsi="Arial" w:cs="Arial"/>
              </w:rPr>
            </w:pPr>
          </w:p>
          <w:p w:rsidR="00500C8C" w:rsidRDefault="002563D6" w:rsidP="00500C8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Faire une évaluation de la mise en œuvre du RASOP </w:t>
            </w:r>
            <w:r w:rsidR="00F30305">
              <w:rPr>
                <w:rFonts w:ascii="Arial" w:hAnsi="Arial" w:cs="Arial"/>
              </w:rPr>
              <w:t xml:space="preserve">par un consultant </w:t>
            </w:r>
            <w:r w:rsidR="00C02A62">
              <w:rPr>
                <w:rFonts w:ascii="Arial" w:hAnsi="Arial" w:cs="Arial"/>
              </w:rPr>
              <w:t xml:space="preserve">indépendant </w:t>
            </w:r>
            <w:r w:rsidR="00504985">
              <w:rPr>
                <w:rFonts w:ascii="Arial" w:hAnsi="Arial" w:cs="Arial"/>
              </w:rPr>
              <w:t xml:space="preserve">en prélude à </w:t>
            </w:r>
            <w:r>
              <w:rPr>
                <w:rFonts w:ascii="Arial" w:hAnsi="Arial" w:cs="Arial"/>
              </w:rPr>
              <w:t>la dissémination</w:t>
            </w:r>
            <w:r w:rsidR="00C02A62">
              <w:rPr>
                <w:rFonts w:ascii="Arial" w:hAnsi="Arial" w:cs="Arial"/>
              </w:rPr>
              <w:t> ;</w:t>
            </w:r>
          </w:p>
          <w:p w:rsidR="00500C8C" w:rsidRDefault="00500C8C" w:rsidP="00500C8C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500C8C" w:rsidRDefault="00F850BD" w:rsidP="00500C8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Finaliser </w:t>
            </w:r>
            <w:r w:rsidR="00500C8C">
              <w:rPr>
                <w:rFonts w:ascii="Arial" w:hAnsi="Arial" w:cs="Arial"/>
              </w:rPr>
              <w:t>les projets bancables (études APD) ;</w:t>
            </w:r>
          </w:p>
          <w:p w:rsidR="00500C8C" w:rsidRPr="00500C8C" w:rsidRDefault="00500C8C" w:rsidP="00500C8C">
            <w:pPr>
              <w:pStyle w:val="Paragraphedeliste"/>
              <w:rPr>
                <w:rFonts w:ascii="Arial" w:hAnsi="Arial" w:cs="Arial"/>
              </w:rPr>
            </w:pPr>
          </w:p>
          <w:p w:rsidR="00747536" w:rsidRDefault="009C25A9" w:rsidP="008E510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Elaborer un programme de formation en vue d’une dissémination (formation des formateurs ; E-learning, coaching, </w:t>
            </w:r>
            <w:r w:rsidR="00747536">
              <w:rPr>
                <w:rFonts w:ascii="Arial" w:hAnsi="Arial" w:cs="Arial"/>
              </w:rPr>
              <w:t>formation par apprentissage,…</w:t>
            </w:r>
            <w:proofErr w:type="gramStart"/>
            <w:r w:rsidR="00747536">
              <w:rPr>
                <w:rFonts w:ascii="Arial" w:hAnsi="Arial" w:cs="Arial"/>
              </w:rPr>
              <w:t>. )</w:t>
            </w:r>
            <w:proofErr w:type="gramEnd"/>
            <w:r w:rsidR="00747536">
              <w:rPr>
                <w:rFonts w:ascii="Arial" w:hAnsi="Arial" w:cs="Arial"/>
              </w:rPr>
              <w:t> ;</w:t>
            </w:r>
          </w:p>
          <w:p w:rsidR="007B0EDD" w:rsidRPr="007B0EDD" w:rsidRDefault="007B0EDD" w:rsidP="007B0EDD">
            <w:pPr>
              <w:pStyle w:val="Paragraphedeliste"/>
              <w:rPr>
                <w:rFonts w:ascii="Arial" w:hAnsi="Arial" w:cs="Arial"/>
              </w:rPr>
            </w:pPr>
          </w:p>
          <w:p w:rsidR="007B0EDD" w:rsidRPr="008E510E" w:rsidRDefault="007B0EDD" w:rsidP="007B0EDD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Associer les jeunes professionnels aux activités du RASOP </w:t>
            </w:r>
            <w:r w:rsidR="00CE1D8B">
              <w:rPr>
                <w:rFonts w:ascii="Arial" w:hAnsi="Arial" w:cs="Arial"/>
              </w:rPr>
              <w:t xml:space="preserve">dans chacun des pays bénéficiaires </w:t>
            </w:r>
            <w:r>
              <w:rPr>
                <w:rFonts w:ascii="Arial" w:hAnsi="Arial" w:cs="Arial"/>
              </w:rPr>
              <w:t>;</w:t>
            </w:r>
          </w:p>
        </w:tc>
      </w:tr>
      <w:tr w:rsidR="0081124E" w:rsidRPr="008C647F" w:rsidTr="008C647F">
        <w:tc>
          <w:tcPr>
            <w:tcW w:w="2718" w:type="dxa"/>
            <w:shd w:val="clear" w:color="auto" w:fill="auto"/>
          </w:tcPr>
          <w:p w:rsidR="0081124E" w:rsidRPr="008C647F" w:rsidRDefault="00A36822" w:rsidP="008112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Présentation de l’a</w:t>
            </w:r>
            <w:r w:rsidR="006013D7">
              <w:rPr>
                <w:rFonts w:ascii="Arial" w:hAnsi="Arial" w:cs="Arial"/>
                <w:color w:val="000000"/>
              </w:rPr>
              <w:t>pproche de</w:t>
            </w:r>
            <w:r w:rsidR="003C79BB">
              <w:rPr>
                <w:rFonts w:ascii="Arial" w:hAnsi="Arial" w:cs="Arial"/>
                <w:color w:val="000000"/>
              </w:rPr>
              <w:t xml:space="preserve"> l’élaboration des Indicateurs de performance</w:t>
            </w:r>
            <w:r w:rsidR="00E02299">
              <w:rPr>
                <w:rFonts w:ascii="Arial" w:hAnsi="Arial" w:cs="Arial"/>
                <w:color w:val="000000"/>
              </w:rPr>
              <w:t xml:space="preserve"> du secteur assainissement</w:t>
            </w:r>
          </w:p>
          <w:p w:rsidR="0081124E" w:rsidRPr="008C647F" w:rsidRDefault="0081124E" w:rsidP="00A041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E02299" w:rsidRPr="00E02299" w:rsidRDefault="00E02299" w:rsidP="00E02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02299">
              <w:rPr>
                <w:rFonts w:ascii="Arial" w:hAnsi="Arial" w:cs="Arial"/>
                <w:u w:val="single"/>
              </w:rPr>
              <w:t>i) Présentation des d</w:t>
            </w:r>
            <w:r w:rsidR="003C79BB" w:rsidRPr="00E02299">
              <w:rPr>
                <w:rFonts w:ascii="Arial" w:hAnsi="Arial" w:cs="Arial"/>
                <w:u w:val="single"/>
              </w:rPr>
              <w:t>ésignation</w:t>
            </w:r>
            <w:r w:rsidRPr="00E02299">
              <w:rPr>
                <w:rFonts w:ascii="Arial" w:hAnsi="Arial" w:cs="Arial"/>
                <w:u w:val="single"/>
              </w:rPr>
              <w:t>s</w:t>
            </w:r>
            <w:r w:rsidR="003C79BB" w:rsidRPr="00E02299">
              <w:rPr>
                <w:rFonts w:ascii="Arial" w:hAnsi="Arial" w:cs="Arial"/>
                <w:u w:val="single"/>
              </w:rPr>
              <w:t>, définition</w:t>
            </w:r>
            <w:r w:rsidRPr="00E02299">
              <w:rPr>
                <w:rFonts w:ascii="Arial" w:hAnsi="Arial" w:cs="Arial"/>
                <w:u w:val="single"/>
              </w:rPr>
              <w:t>s</w:t>
            </w:r>
            <w:r w:rsidR="003C79BB" w:rsidRPr="00E02299">
              <w:rPr>
                <w:rFonts w:ascii="Arial" w:hAnsi="Arial" w:cs="Arial"/>
                <w:u w:val="single"/>
              </w:rPr>
              <w:t xml:space="preserve"> et mode</w:t>
            </w:r>
            <w:r w:rsidRPr="00E02299">
              <w:rPr>
                <w:rFonts w:ascii="Arial" w:hAnsi="Arial" w:cs="Arial"/>
                <w:u w:val="single"/>
              </w:rPr>
              <w:t>s</w:t>
            </w:r>
            <w:r w:rsidR="003C79BB" w:rsidRPr="00E02299">
              <w:rPr>
                <w:rFonts w:ascii="Arial" w:hAnsi="Arial" w:cs="Arial"/>
                <w:u w:val="single"/>
              </w:rPr>
              <w:t xml:space="preserve"> de calcul </w:t>
            </w:r>
            <w:r w:rsidRPr="00E02299">
              <w:rPr>
                <w:rFonts w:ascii="Arial" w:hAnsi="Arial" w:cs="Arial"/>
                <w:u w:val="single"/>
              </w:rPr>
              <w:t>de 7 indicateurs</w:t>
            </w:r>
            <w:r w:rsidRPr="00E02299">
              <w:rPr>
                <w:rFonts w:ascii="Arial" w:hAnsi="Arial" w:cs="Arial"/>
              </w:rPr>
              <w:t> :</w:t>
            </w:r>
          </w:p>
          <w:p w:rsidR="00E02299" w:rsidRPr="00E02299" w:rsidRDefault="00E02299" w:rsidP="00E02299">
            <w:pPr>
              <w:ind w:left="2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(1) </w:t>
            </w:r>
            <w:r w:rsidR="003C79BB" w:rsidRPr="00E02299">
              <w:rPr>
                <w:rFonts w:ascii="Arial" w:hAnsi="Arial" w:cs="Arial"/>
              </w:rPr>
              <w:t>Taux de desserte par réseau</w:t>
            </w:r>
            <w:r w:rsidRPr="00E02299">
              <w:rPr>
                <w:rFonts w:ascii="Arial" w:hAnsi="Arial" w:cs="Arial"/>
              </w:rPr>
              <w:t xml:space="preserve">, (2) </w:t>
            </w:r>
            <w:r w:rsidR="003C79BB" w:rsidRPr="00E02299">
              <w:rPr>
                <w:rFonts w:ascii="Arial" w:hAnsi="Arial" w:cs="Arial"/>
              </w:rPr>
              <w:t xml:space="preserve"> taux de couverture</w:t>
            </w:r>
            <w:r w:rsidRPr="00E02299">
              <w:rPr>
                <w:rFonts w:ascii="Arial" w:hAnsi="Arial" w:cs="Arial"/>
              </w:rPr>
              <w:t xml:space="preserve"> des usagers du réseau, (3) </w:t>
            </w:r>
            <w:r w:rsidR="003C79BB" w:rsidRPr="00E02299">
              <w:rPr>
                <w:rFonts w:ascii="Arial" w:hAnsi="Arial" w:cs="Arial"/>
              </w:rPr>
              <w:t xml:space="preserve">Performance du réseau </w:t>
            </w:r>
            <w:r w:rsidRPr="00E02299">
              <w:rPr>
                <w:rFonts w:ascii="Arial" w:hAnsi="Arial" w:cs="Arial"/>
              </w:rPr>
              <w:t xml:space="preserve">d’eaux usées, (4) </w:t>
            </w:r>
            <w:r w:rsidR="003C79BB" w:rsidRPr="00E02299">
              <w:rPr>
                <w:rFonts w:ascii="Arial" w:hAnsi="Arial" w:cs="Arial"/>
              </w:rPr>
              <w:t xml:space="preserve">Taux </w:t>
            </w:r>
            <w:r w:rsidRPr="00E02299">
              <w:rPr>
                <w:rFonts w:ascii="Arial" w:hAnsi="Arial" w:cs="Arial"/>
              </w:rPr>
              <w:t xml:space="preserve">de </w:t>
            </w:r>
            <w:r w:rsidR="003C79BB" w:rsidRPr="00E02299">
              <w:rPr>
                <w:rFonts w:ascii="Arial" w:hAnsi="Arial" w:cs="Arial"/>
              </w:rPr>
              <w:t>débordement/d’engorgement par 100 km</w:t>
            </w:r>
            <w:r w:rsidRPr="00E02299">
              <w:rPr>
                <w:rFonts w:ascii="Arial" w:hAnsi="Arial" w:cs="Arial"/>
              </w:rPr>
              <w:t xml:space="preserve">, (5) </w:t>
            </w:r>
            <w:r w:rsidR="003C79BB" w:rsidRPr="00E02299">
              <w:rPr>
                <w:rFonts w:ascii="Arial" w:hAnsi="Arial" w:cs="Arial"/>
              </w:rPr>
              <w:t xml:space="preserve">Taux de points de réseau nécessitant des </w:t>
            </w:r>
            <w:r w:rsidRPr="00E02299">
              <w:rPr>
                <w:rFonts w:ascii="Arial" w:hAnsi="Arial" w:cs="Arial"/>
              </w:rPr>
              <w:t>interventions, (6) taux moyens de renouvellement des réseaux d’eaux usées, (7) taux du respect du délai d’ouverture des branchements</w:t>
            </w:r>
          </w:p>
          <w:p w:rsidR="006013D7" w:rsidRPr="001978F3" w:rsidRDefault="00E02299" w:rsidP="00E02299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(ii) </w:t>
            </w:r>
            <w:r w:rsidRPr="00E02299">
              <w:rPr>
                <w:rFonts w:ascii="Arial" w:hAnsi="Arial" w:cs="Arial"/>
                <w:u w:val="single"/>
              </w:rPr>
              <w:t>six (6) Préalables pour la mise en œuvre des indicateurs</w:t>
            </w:r>
          </w:p>
        </w:tc>
        <w:tc>
          <w:tcPr>
            <w:tcW w:w="5748" w:type="dxa"/>
            <w:shd w:val="clear" w:color="auto" w:fill="auto"/>
          </w:tcPr>
          <w:p w:rsidR="0081124E" w:rsidRPr="008C647F" w:rsidRDefault="0081124E" w:rsidP="0081124E">
            <w:pPr>
              <w:rPr>
                <w:rFonts w:ascii="Arial" w:hAnsi="Arial" w:cs="Arial"/>
              </w:rPr>
            </w:pPr>
          </w:p>
        </w:tc>
      </w:tr>
    </w:tbl>
    <w:p w:rsidR="005F4801" w:rsidRPr="008F1215" w:rsidRDefault="005F4801" w:rsidP="008F1215">
      <w:pPr>
        <w:spacing w:after="0"/>
        <w:rPr>
          <w:rFonts w:ascii="Arial" w:hAnsi="Arial" w:cs="Arial"/>
          <w:sz w:val="24"/>
        </w:rPr>
      </w:pPr>
    </w:p>
    <w:p w:rsidR="008F1215" w:rsidRPr="00DC3DCD" w:rsidRDefault="008F1215" w:rsidP="00DC3DCD">
      <w:pPr>
        <w:spacing w:after="0"/>
        <w:jc w:val="both"/>
        <w:rPr>
          <w:rFonts w:ascii="Arial" w:hAnsi="Arial" w:cs="Arial"/>
          <w:sz w:val="24"/>
        </w:rPr>
      </w:pPr>
    </w:p>
    <w:sectPr w:rsidR="008F1215" w:rsidRPr="00DC3DCD" w:rsidSect="008C6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C2E"/>
    <w:multiLevelType w:val="hybridMultilevel"/>
    <w:tmpl w:val="4322C756"/>
    <w:lvl w:ilvl="0" w:tplc="73C019E2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7CE"/>
    <w:multiLevelType w:val="hybridMultilevel"/>
    <w:tmpl w:val="3C1A1B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14AF"/>
    <w:multiLevelType w:val="hybridMultilevel"/>
    <w:tmpl w:val="4D0E9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67FD"/>
    <w:multiLevelType w:val="hybridMultilevel"/>
    <w:tmpl w:val="D42634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27A6"/>
    <w:multiLevelType w:val="hybridMultilevel"/>
    <w:tmpl w:val="EB64175E"/>
    <w:lvl w:ilvl="0" w:tplc="8884C6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7202F"/>
    <w:multiLevelType w:val="hybridMultilevel"/>
    <w:tmpl w:val="D410EF92"/>
    <w:lvl w:ilvl="0" w:tplc="BE123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7317"/>
    <w:multiLevelType w:val="hybridMultilevel"/>
    <w:tmpl w:val="97F8B0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447D"/>
    <w:multiLevelType w:val="hybridMultilevel"/>
    <w:tmpl w:val="647A028C"/>
    <w:lvl w:ilvl="0" w:tplc="3D6A738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309DD"/>
    <w:multiLevelType w:val="hybridMultilevel"/>
    <w:tmpl w:val="C73022A6"/>
    <w:lvl w:ilvl="0" w:tplc="87B6C0B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BC3839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B44B6"/>
    <w:multiLevelType w:val="hybridMultilevel"/>
    <w:tmpl w:val="91D87962"/>
    <w:lvl w:ilvl="0" w:tplc="BC3839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17A"/>
    <w:multiLevelType w:val="hybridMultilevel"/>
    <w:tmpl w:val="6C3A7B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68C"/>
    <w:multiLevelType w:val="hybridMultilevel"/>
    <w:tmpl w:val="432A0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42CEF"/>
    <w:multiLevelType w:val="hybridMultilevel"/>
    <w:tmpl w:val="6512C4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0506B"/>
    <w:multiLevelType w:val="hybridMultilevel"/>
    <w:tmpl w:val="29305FB6"/>
    <w:lvl w:ilvl="0" w:tplc="5E7295E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7F621AF4"/>
    <w:multiLevelType w:val="hybridMultilevel"/>
    <w:tmpl w:val="52C0EF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B43"/>
    <w:multiLevelType w:val="hybridMultilevel"/>
    <w:tmpl w:val="6BBC76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5"/>
    <w:rsid w:val="00004CE2"/>
    <w:rsid w:val="0005771A"/>
    <w:rsid w:val="00060F8C"/>
    <w:rsid w:val="00076AC7"/>
    <w:rsid w:val="000C3D94"/>
    <w:rsid w:val="000E0056"/>
    <w:rsid w:val="000F7685"/>
    <w:rsid w:val="00105D76"/>
    <w:rsid w:val="0015395D"/>
    <w:rsid w:val="00155AD7"/>
    <w:rsid w:val="00171214"/>
    <w:rsid w:val="001978F3"/>
    <w:rsid w:val="001A26BB"/>
    <w:rsid w:val="001C3E24"/>
    <w:rsid w:val="00212E3D"/>
    <w:rsid w:val="00220905"/>
    <w:rsid w:val="0023254C"/>
    <w:rsid w:val="002563D6"/>
    <w:rsid w:val="002643B8"/>
    <w:rsid w:val="002700CB"/>
    <w:rsid w:val="0031261C"/>
    <w:rsid w:val="00322610"/>
    <w:rsid w:val="00346ADB"/>
    <w:rsid w:val="00353370"/>
    <w:rsid w:val="00375BC8"/>
    <w:rsid w:val="0038395E"/>
    <w:rsid w:val="003978BE"/>
    <w:rsid w:val="003A09E2"/>
    <w:rsid w:val="003B4849"/>
    <w:rsid w:val="003B5CF1"/>
    <w:rsid w:val="003C6B27"/>
    <w:rsid w:val="003C79BB"/>
    <w:rsid w:val="003E13C9"/>
    <w:rsid w:val="00447040"/>
    <w:rsid w:val="00471FE1"/>
    <w:rsid w:val="004753F1"/>
    <w:rsid w:val="00495717"/>
    <w:rsid w:val="004A4D83"/>
    <w:rsid w:val="004E3ADA"/>
    <w:rsid w:val="004F460C"/>
    <w:rsid w:val="00500C8C"/>
    <w:rsid w:val="00504985"/>
    <w:rsid w:val="00564611"/>
    <w:rsid w:val="005655AA"/>
    <w:rsid w:val="00571703"/>
    <w:rsid w:val="005911B4"/>
    <w:rsid w:val="005945BC"/>
    <w:rsid w:val="0059513C"/>
    <w:rsid w:val="005A0F0A"/>
    <w:rsid w:val="005F4801"/>
    <w:rsid w:val="006013D7"/>
    <w:rsid w:val="00614984"/>
    <w:rsid w:val="00627548"/>
    <w:rsid w:val="00630509"/>
    <w:rsid w:val="006717BD"/>
    <w:rsid w:val="006B2E77"/>
    <w:rsid w:val="006C2F2B"/>
    <w:rsid w:val="00706630"/>
    <w:rsid w:val="00717743"/>
    <w:rsid w:val="00720AC9"/>
    <w:rsid w:val="007310B5"/>
    <w:rsid w:val="0073459B"/>
    <w:rsid w:val="00747536"/>
    <w:rsid w:val="00756409"/>
    <w:rsid w:val="00766B89"/>
    <w:rsid w:val="0079171D"/>
    <w:rsid w:val="007B0EDD"/>
    <w:rsid w:val="007D2135"/>
    <w:rsid w:val="00805376"/>
    <w:rsid w:val="0081124E"/>
    <w:rsid w:val="008374EA"/>
    <w:rsid w:val="00844D9C"/>
    <w:rsid w:val="00856526"/>
    <w:rsid w:val="00861824"/>
    <w:rsid w:val="0086393E"/>
    <w:rsid w:val="00863D98"/>
    <w:rsid w:val="008C24F8"/>
    <w:rsid w:val="008C647F"/>
    <w:rsid w:val="008E1930"/>
    <w:rsid w:val="008E510E"/>
    <w:rsid w:val="008F1215"/>
    <w:rsid w:val="00920273"/>
    <w:rsid w:val="00920953"/>
    <w:rsid w:val="00954D34"/>
    <w:rsid w:val="00984A29"/>
    <w:rsid w:val="00995E4E"/>
    <w:rsid w:val="009A08B7"/>
    <w:rsid w:val="009A58AA"/>
    <w:rsid w:val="009B4CB6"/>
    <w:rsid w:val="009B5310"/>
    <w:rsid w:val="009C25A9"/>
    <w:rsid w:val="009E16F5"/>
    <w:rsid w:val="009E70B9"/>
    <w:rsid w:val="009F277E"/>
    <w:rsid w:val="009F7417"/>
    <w:rsid w:val="00A03C87"/>
    <w:rsid w:val="00A04123"/>
    <w:rsid w:val="00A36822"/>
    <w:rsid w:val="00A46E0B"/>
    <w:rsid w:val="00AC3F25"/>
    <w:rsid w:val="00AC3F7D"/>
    <w:rsid w:val="00AD1DDF"/>
    <w:rsid w:val="00AE2818"/>
    <w:rsid w:val="00B20258"/>
    <w:rsid w:val="00B26DD8"/>
    <w:rsid w:val="00B41703"/>
    <w:rsid w:val="00B52A90"/>
    <w:rsid w:val="00B5605C"/>
    <w:rsid w:val="00B77A5B"/>
    <w:rsid w:val="00B8678B"/>
    <w:rsid w:val="00BA4379"/>
    <w:rsid w:val="00BA5619"/>
    <w:rsid w:val="00BB6F6F"/>
    <w:rsid w:val="00BC2E87"/>
    <w:rsid w:val="00C0103B"/>
    <w:rsid w:val="00C022FB"/>
    <w:rsid w:val="00C02A62"/>
    <w:rsid w:val="00C42249"/>
    <w:rsid w:val="00C64E2C"/>
    <w:rsid w:val="00C66E80"/>
    <w:rsid w:val="00CB1B8F"/>
    <w:rsid w:val="00CC0A28"/>
    <w:rsid w:val="00CD4992"/>
    <w:rsid w:val="00CE0710"/>
    <w:rsid w:val="00CE1D8B"/>
    <w:rsid w:val="00CF7957"/>
    <w:rsid w:val="00D72BCE"/>
    <w:rsid w:val="00DC3DCD"/>
    <w:rsid w:val="00E00429"/>
    <w:rsid w:val="00E02299"/>
    <w:rsid w:val="00E32C89"/>
    <w:rsid w:val="00E3343E"/>
    <w:rsid w:val="00E41B50"/>
    <w:rsid w:val="00E54CE5"/>
    <w:rsid w:val="00E64574"/>
    <w:rsid w:val="00E65C2C"/>
    <w:rsid w:val="00E7545B"/>
    <w:rsid w:val="00E75E56"/>
    <w:rsid w:val="00E92A1E"/>
    <w:rsid w:val="00EB4DFA"/>
    <w:rsid w:val="00EB7458"/>
    <w:rsid w:val="00ED0A2D"/>
    <w:rsid w:val="00EE00F7"/>
    <w:rsid w:val="00EE1FB7"/>
    <w:rsid w:val="00EF33B5"/>
    <w:rsid w:val="00F05911"/>
    <w:rsid w:val="00F059CE"/>
    <w:rsid w:val="00F128DC"/>
    <w:rsid w:val="00F30305"/>
    <w:rsid w:val="00F3708C"/>
    <w:rsid w:val="00F7739A"/>
    <w:rsid w:val="00F850BD"/>
    <w:rsid w:val="00F904D6"/>
    <w:rsid w:val="00FA7436"/>
    <w:rsid w:val="00FB62E1"/>
    <w:rsid w:val="00FE7063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36ECB-9F76-412C-9F92-06CAB06A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2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F48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NGUESSAN</dc:creator>
  <cp:keywords/>
  <dc:description/>
  <cp:lastModifiedBy>SOUS-DIRECTEUR DE LA PLANIFICATION</cp:lastModifiedBy>
  <cp:revision>48</cp:revision>
  <dcterms:created xsi:type="dcterms:W3CDTF">2017-11-26T20:10:00Z</dcterms:created>
  <dcterms:modified xsi:type="dcterms:W3CDTF">2017-11-29T14:01:00Z</dcterms:modified>
</cp:coreProperties>
</file>